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E557" w14:textId="4FD035C4" w:rsidR="00823994" w:rsidRDefault="00A85D38">
      <w:pPr>
        <w:rPr>
          <w:sz w:val="36"/>
          <w:szCs w:val="36"/>
          <w:lang w:val="en-US"/>
        </w:rPr>
      </w:pPr>
      <w:r w:rsidRPr="00A85D38">
        <w:rPr>
          <w:sz w:val="36"/>
          <w:szCs w:val="36"/>
          <w:lang w:val="en-US"/>
        </w:rPr>
        <w:t>Parent Feedback from Annual Reviews</w:t>
      </w:r>
      <w:r>
        <w:rPr>
          <w:sz w:val="36"/>
          <w:szCs w:val="36"/>
          <w:lang w:val="en-US"/>
        </w:rPr>
        <w:t xml:space="preserve"> – July 2023</w:t>
      </w:r>
    </w:p>
    <w:p w14:paraId="0A1DA95A" w14:textId="38B7FC29" w:rsidR="00A85D38" w:rsidRDefault="006F4BC2">
      <w:pPr>
        <w:rPr>
          <w:lang w:val="en-US"/>
        </w:rPr>
      </w:pPr>
      <w:r>
        <w:rPr>
          <w:sz w:val="36"/>
          <w:szCs w:val="36"/>
          <w:lang w:val="en-US"/>
        </w:rPr>
        <w:t>What’s working well?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761EB" w:rsidRPr="002761EB" w14:paraId="677F992F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9E809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>Category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79C9A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>Numbers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1E18C2E8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486BA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Mental well-being (happy at school, friendships)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16192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(72)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2D035BA4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9FFD8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Physical well-being (routines, sleep, postural management </w:t>
            </w:r>
            <w:proofErr w:type="spellStart"/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programme</w:t>
            </w:r>
            <w:proofErr w:type="spellEnd"/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8D8D6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(24)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0F406018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F6A82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General learning (progress &amp; challenge, opportunities, communication)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5E574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(37)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572E91A0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3411A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Music therapy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547C0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(10)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721F8230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59126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Growing confidence and/or maturity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E3977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(17)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05ED7B3B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2644C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Independence and life skills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E9100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(16)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3D294660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D2BD4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Behaviour</w:t>
            </w:r>
            <w:proofErr w:type="spellEnd"/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 (rewards system)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709A1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(3)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582787E2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D9608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Home-school communication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1A3D9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(5)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09CBE2BB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4D0F3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Transport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0F10B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(10)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500A99E6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5C818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Input from social services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A2858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(6)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6E1AA28A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EF5E7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Medical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C8797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(5)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34A26603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EDA7D8C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School environment (mainly or wholly pupil responses) (sensory, outdoors, clubs &amp; activities)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F0F2F9C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(9)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1DF105B7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530621F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Opportunities at school (mainly or wholly pupil responses) (clubs &amp; activities, curriculum, preps for adulthood)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C3121B8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(22)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43E75D3F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54DB5851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75106D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Male teacher (mainly or wholly pupil responses)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04025C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(3)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D97C596" w14:textId="77777777" w:rsidR="00A85D38" w:rsidRDefault="00A85D38">
      <w:pPr>
        <w:rPr>
          <w:lang w:val="en-US"/>
        </w:rPr>
      </w:pPr>
    </w:p>
    <w:p w14:paraId="5C8E0695" w14:textId="18075B74" w:rsidR="006F4BC2" w:rsidRPr="006F4BC2" w:rsidRDefault="006F4BC2">
      <w:pPr>
        <w:rPr>
          <w:sz w:val="36"/>
          <w:szCs w:val="36"/>
          <w:lang w:val="en-US"/>
        </w:rPr>
      </w:pPr>
      <w:r w:rsidRPr="006F4BC2">
        <w:rPr>
          <w:sz w:val="36"/>
          <w:szCs w:val="36"/>
          <w:lang w:val="en-US"/>
        </w:rPr>
        <w:t>What could be better?</w:t>
      </w:r>
    </w:p>
    <w:p w14:paraId="091BB565" w14:textId="7A531745" w:rsidR="00A85D38" w:rsidRDefault="00A85D38">
      <w:pPr>
        <w:rPr>
          <w:lang w:val="en-U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761EB" w:rsidRPr="002761EB" w14:paraId="7FC907E5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3BA34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>Category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B5141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>Numbers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13E75B32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0E1DD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Mental well-being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5B6EB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(8)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349E1276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25087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Physical accidents at school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809D5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(2)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4C31A4FF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709CB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Physical well-being (opportunities to develop at school)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F6AD0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(9)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661EEC7C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3B928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School environment (sensory)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30A4C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(5)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4100F421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339F2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General learning (progress &amp; challenge or too challenging, appropriate equipment/resources – </w:t>
            </w:r>
            <w:proofErr w:type="gramStart"/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e.g.</w:t>
            </w:r>
            <w:proofErr w:type="gramEnd"/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 ICT)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2DE25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(8)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1D3DE55B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262CA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Behaviour</w:t>
            </w:r>
            <w:proofErr w:type="spellEnd"/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 (generally at home) (generally condition-related)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4C030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(12)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0A73B28E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48775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Independence skills (at home or at school, some just to develop these)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D8492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 (8)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3C1DC7EE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59914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Access to extra-curricular activities (clubs and trips)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E3D2D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(8)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535A1DAD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BD48B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Home-school communication (access to Earwig, information on them, older </w:t>
            </w:r>
            <w:proofErr w:type="gramStart"/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pupils</w:t>
            </w:r>
            <w:proofErr w:type="gramEnd"/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 rights)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5C597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(6)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6353B6BD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43315E4C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Communication with therapists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57FB6B64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(9)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480CF1B3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1D966194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Medical (generally condition-related)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2D2A3A57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(12)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5E3D6CB0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33A12E8E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Physiotherapy or OT equipment (sourced from NHS)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4983BED9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(3) 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0EB018A9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757F7E51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MSI or communication equipment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371DD639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(7)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4897CA49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14AEB79B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Input from social services (respite, alterations to housing)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0DC66F3B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(4)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10A5ED93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761EB" w:rsidRPr="002761EB" w14:paraId="66F70D0A" w14:textId="77777777" w:rsidTr="002761EB">
        <w:trPr>
          <w:trHeight w:val="3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023840F8" w14:textId="77777777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Transport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43211387" w14:textId="22CF5FD5" w:rsidR="002761EB" w:rsidRPr="002761EB" w:rsidRDefault="002761EB" w:rsidP="002761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761EB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(2)</w:t>
            </w:r>
            <w:r w:rsidRPr="002761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103F0BC" w14:textId="77777777" w:rsidR="00A85D38" w:rsidRDefault="00A85D38">
      <w:pPr>
        <w:rPr>
          <w:lang w:val="en-US"/>
        </w:rPr>
      </w:pPr>
    </w:p>
    <w:p w14:paraId="21ADC3FE" w14:textId="2244AE88" w:rsidR="006F4BC2" w:rsidRDefault="006F4BC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FE86748" wp14:editId="50817294">
            <wp:extent cx="6545580" cy="8755380"/>
            <wp:effectExtent l="0" t="0" r="7620" b="7620"/>
            <wp:docPr id="89880336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CD561EE-72CB-103C-2457-773EB2C79C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D523360" w14:textId="77777777" w:rsidR="006F4BC2" w:rsidRDefault="006F4BC2">
      <w:pPr>
        <w:rPr>
          <w:lang w:val="en-US"/>
        </w:rPr>
      </w:pPr>
    </w:p>
    <w:p w14:paraId="15114805" w14:textId="116CA94C" w:rsidR="006F4BC2" w:rsidRDefault="00D8559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0A79198" wp14:editId="08F6BF7E">
            <wp:extent cx="6645910" cy="9305290"/>
            <wp:effectExtent l="38100" t="0" r="2540" b="10160"/>
            <wp:docPr id="1370771235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1CFC8F2-8BE9-ECE5-61F8-A600918485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A35CF0" w14:textId="77777777" w:rsidR="006F4BC2" w:rsidRDefault="006F4BC2">
      <w:pPr>
        <w:rPr>
          <w:lang w:val="en-US"/>
        </w:rPr>
      </w:pPr>
    </w:p>
    <w:p w14:paraId="0CC5DB81" w14:textId="725A0F23" w:rsidR="00AE031D" w:rsidRDefault="00AE031D" w:rsidP="00AE03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Data was taken from </w:t>
      </w:r>
      <w:r w:rsidR="00A85D38" w:rsidRPr="00A85D38">
        <w:rPr>
          <w:lang w:val="en-US"/>
        </w:rPr>
        <w:t>95</w:t>
      </w:r>
      <w:r>
        <w:rPr>
          <w:lang w:val="en-US"/>
        </w:rPr>
        <w:t xml:space="preserve"> annual reviews which</w:t>
      </w:r>
      <w:r w:rsidR="00D8559C">
        <w:rPr>
          <w:lang w:val="en-US"/>
        </w:rPr>
        <w:t xml:space="preserve"> represents the opinions of 90% of the families at school.</w:t>
      </w:r>
      <w:r>
        <w:rPr>
          <w:lang w:val="en-US"/>
        </w:rPr>
        <w:t xml:space="preserve"> (Not all children have EHCPs and some annual reviews took place after the data had been collated.</w:t>
      </w:r>
    </w:p>
    <w:p w14:paraId="79D685E3" w14:textId="5AAC661C" w:rsidR="00F04650" w:rsidRPr="00F04650" w:rsidRDefault="00AE031D" w:rsidP="00F046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This data has been collated from c</w:t>
      </w:r>
      <w:r w:rsidRPr="00A85D38">
        <w:rPr>
          <w:lang w:val="en-US"/>
        </w:rPr>
        <w:t xml:space="preserve">omments </w:t>
      </w:r>
      <w:r>
        <w:rPr>
          <w:lang w:val="en-US"/>
        </w:rPr>
        <w:t>to the two open-ended questions above: ‘What’s working well?’ and ‘What could be better if…?’ There were no closed questions, e.g. ‘Is your pupil happy at school?’ Despite this, 76% of pupils still mentioned their enjoyment of being at school.</w:t>
      </w:r>
    </w:p>
    <w:p w14:paraId="0DC684D6" w14:textId="797BB914" w:rsidR="00A85D38" w:rsidRDefault="00A85D38" w:rsidP="00A85D38">
      <w:pPr>
        <w:pStyle w:val="ListParagraph"/>
        <w:numPr>
          <w:ilvl w:val="0"/>
          <w:numId w:val="1"/>
        </w:numPr>
        <w:rPr>
          <w:lang w:val="en-US"/>
        </w:rPr>
      </w:pPr>
      <w:r w:rsidRPr="1196AAC7">
        <w:rPr>
          <w:lang w:val="en-US"/>
        </w:rPr>
        <w:t>This</w:t>
      </w:r>
      <w:r w:rsidR="71B4A23B" w:rsidRPr="1196AAC7">
        <w:rPr>
          <w:lang w:val="en-US"/>
        </w:rPr>
        <w:t xml:space="preserve"> is the</w:t>
      </w:r>
      <w:r w:rsidRPr="1196AAC7">
        <w:rPr>
          <w:lang w:val="en-US"/>
        </w:rPr>
        <w:t xml:space="preserve"> third lot of data</w:t>
      </w:r>
      <w:r w:rsidR="34A97672" w:rsidRPr="1196AAC7">
        <w:rPr>
          <w:lang w:val="en-US"/>
        </w:rPr>
        <w:t xml:space="preserve"> collected during 22-23.</w:t>
      </w:r>
      <w:r w:rsidRPr="1196AAC7">
        <w:rPr>
          <w:lang w:val="en-US"/>
        </w:rPr>
        <w:t xml:space="preserve"> </w:t>
      </w:r>
      <w:r w:rsidR="358F2537" w:rsidRPr="1196AAC7">
        <w:rPr>
          <w:lang w:val="en-US"/>
        </w:rPr>
        <w:t>T</w:t>
      </w:r>
      <w:r w:rsidR="002761EB" w:rsidRPr="1196AAC7">
        <w:rPr>
          <w:lang w:val="en-US"/>
        </w:rPr>
        <w:t>he collator</w:t>
      </w:r>
      <w:r w:rsidRPr="1196AAC7">
        <w:rPr>
          <w:lang w:val="en-US"/>
        </w:rPr>
        <w:t xml:space="preserve"> took the initiative to </w:t>
      </w:r>
      <w:r w:rsidR="002761EB" w:rsidRPr="1196AAC7">
        <w:rPr>
          <w:lang w:val="en-US"/>
        </w:rPr>
        <w:t>pick out a few comments</w:t>
      </w:r>
      <w:r w:rsidRPr="1196AAC7">
        <w:rPr>
          <w:lang w:val="en-US"/>
        </w:rPr>
        <w:t xml:space="preserve"> as she noted that there were many positive comments that the data does not reflect.  She chose the following:</w:t>
      </w:r>
    </w:p>
    <w:p w14:paraId="0703EBA4" w14:textId="3D908CD1" w:rsidR="00A85D38" w:rsidRPr="00A85D38" w:rsidRDefault="00A85D38" w:rsidP="00A85D3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‘</w:t>
      </w:r>
      <w:r w:rsidRPr="00A85D38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[My son] enjoys being at school and has a great relationship with his pastoral teacher and is forming good relationships with his peers</w:t>
      </w:r>
      <w:r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’</w:t>
      </w:r>
      <w:r w:rsidRPr="00A85D38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</w:t>
      </w:r>
    </w:p>
    <w:p w14:paraId="3C739AE4" w14:textId="5ED003D9" w:rsidR="00A85D38" w:rsidRPr="002761EB" w:rsidRDefault="002761EB" w:rsidP="00A85D3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‘</w:t>
      </w:r>
      <w:r w:rsidR="00A85D38"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We are extremely proud of XXX passing his driving test. I feel </w:t>
      </w:r>
      <w:r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XXX</w:t>
      </w:r>
      <w:r w:rsidR="00A85D38"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 is</w:t>
      </w:r>
      <w:r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 now</w:t>
      </w:r>
      <w:r w:rsidR="00A85D38"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 quite mature and grown up</w:t>
      </w:r>
      <w:r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.</w:t>
      </w:r>
      <w:r w:rsidR="00A85D38"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 (mum)</w:t>
      </w:r>
      <w:r w:rsidR="00A85D38"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I think he now sees himself as a young man and not a boy. He wants his opinion heard and taken seriously. </w:t>
      </w:r>
      <w:r w:rsidR="00A85D38"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I feel </w:t>
      </w:r>
      <w:r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XXX</w:t>
      </w:r>
      <w:r w:rsidR="00A85D38"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 is getting more confident in believing in himself and his abilities.</w:t>
      </w:r>
      <w:r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’</w:t>
      </w:r>
    </w:p>
    <w:p w14:paraId="3A09EC07" w14:textId="2CF6C7C2" w:rsidR="00A85D38" w:rsidRPr="002761EB" w:rsidRDefault="002761EB" w:rsidP="002761E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‘</w:t>
      </w:r>
      <w:r w:rsidR="00A85D38"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His ability to interact with his siblings is much better since he has been in school. He will seek his siblings out.</w:t>
      </w:r>
      <w:r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’</w:t>
      </w:r>
      <w:r w:rsidR="00A85D38"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r w:rsidR="00A85D38" w:rsidRPr="002761EB">
        <w:rPr>
          <w:rStyle w:val="normaltextrun"/>
          <w:rFonts w:asciiTheme="majorHAnsi" w:hAnsiTheme="majorHAnsi" w:cstheme="majorHAnsi"/>
          <w:i/>
          <w:iCs/>
          <w:sz w:val="22"/>
          <w:szCs w:val="22"/>
          <w:lang w:val="en-US"/>
        </w:rPr>
        <w:t xml:space="preserve"> </w:t>
      </w:r>
    </w:p>
    <w:p w14:paraId="29B0A229" w14:textId="3BE995CE" w:rsidR="00A85D38" w:rsidRPr="002761EB" w:rsidRDefault="002761EB" w:rsidP="002761E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‘</w:t>
      </w:r>
      <w:r w:rsidR="00A85D38" w:rsidRPr="002761E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I am really enjoying all the different work this year – I am enjoying being challenged more and learning at a more academic level and not doing just sensory sessions.</w:t>
      </w:r>
      <w:r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’ (</w:t>
      </w:r>
      <w:proofErr w:type="gramStart"/>
      <w:r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parents</w:t>
      </w:r>
      <w:proofErr w:type="gramEnd"/>
      <w:r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and carers speaking on behalf of non-verbal pupil as evidenced from how he is responding to remote learning.)</w:t>
      </w:r>
    </w:p>
    <w:p w14:paraId="07C5281D" w14:textId="77777777" w:rsidR="00A12A1C" w:rsidRDefault="00A12A1C" w:rsidP="00D855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Due to the source of the data, it is not anonymous and concerns, highlighted at the review are drafted into action plans which are addressed according to need. </w:t>
      </w:r>
    </w:p>
    <w:p w14:paraId="6B4521D3" w14:textId="34579C21" w:rsidR="00A12A1C" w:rsidRDefault="00A12A1C" w:rsidP="00D855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typical example of what happens to this information…</w:t>
      </w:r>
    </w:p>
    <w:p w14:paraId="07FC938F" w14:textId="6F3AA4B1" w:rsidR="00D8559C" w:rsidRDefault="00D8559C" w:rsidP="00D8559C">
      <w:pPr>
        <w:pStyle w:val="ListParagraph"/>
        <w:numPr>
          <w:ilvl w:val="0"/>
          <w:numId w:val="1"/>
        </w:numPr>
        <w:rPr>
          <w:lang w:val="en-US"/>
        </w:rPr>
      </w:pPr>
      <w:r w:rsidRPr="00A12A1C">
        <w:rPr>
          <w:b/>
          <w:bCs/>
          <w:lang w:val="en-US"/>
        </w:rPr>
        <w:t>At least 76% of pupils view school as a positive place where they are happy and have friends.</w:t>
      </w:r>
      <w:r w:rsidR="00A12A1C">
        <w:rPr>
          <w:lang w:val="en-US"/>
        </w:rPr>
        <w:t xml:space="preserve"> This information may be fed back to the class team following an annual review by the teacher</w:t>
      </w:r>
      <w:r w:rsidR="00FE3C4B">
        <w:rPr>
          <w:lang w:val="en-US"/>
        </w:rPr>
        <w:t xml:space="preserve">.  </w:t>
      </w:r>
      <w:r w:rsidR="00A12A1C">
        <w:rPr>
          <w:lang w:val="en-US"/>
        </w:rPr>
        <w:t xml:space="preserve">Some </w:t>
      </w:r>
      <w:r w:rsidR="00FE3C4B">
        <w:rPr>
          <w:lang w:val="en-US"/>
        </w:rPr>
        <w:t>may go on</w:t>
      </w:r>
      <w:r w:rsidR="00A12A1C">
        <w:rPr>
          <w:lang w:val="en-US"/>
        </w:rPr>
        <w:t xml:space="preserve"> go on the website</w:t>
      </w:r>
      <w:r w:rsidR="00D31B4A">
        <w:rPr>
          <w:lang w:val="en-US"/>
        </w:rPr>
        <w:t>. Some</w:t>
      </w:r>
      <w:r w:rsidR="00FE3C4B">
        <w:rPr>
          <w:lang w:val="en-US"/>
        </w:rPr>
        <w:t xml:space="preserve"> comments may be mentioned in the weekly staff shout out and be posted on the well-being board in the staff room.</w:t>
      </w:r>
    </w:p>
    <w:p w14:paraId="7EE046B5" w14:textId="7E8957D8" w:rsidR="00D8559C" w:rsidRDefault="00D8559C" w:rsidP="00D8559C">
      <w:pPr>
        <w:pStyle w:val="ListParagraph"/>
        <w:numPr>
          <w:ilvl w:val="0"/>
          <w:numId w:val="1"/>
        </w:numPr>
        <w:rPr>
          <w:lang w:val="en-US"/>
        </w:rPr>
      </w:pPr>
      <w:r w:rsidRPr="00FE3C4B">
        <w:rPr>
          <w:b/>
          <w:bCs/>
          <w:lang w:val="en-US"/>
        </w:rPr>
        <w:t>8% of pupils cited well-being as a cause for concern.</w:t>
      </w:r>
      <w:r>
        <w:rPr>
          <w:lang w:val="en-US"/>
        </w:rPr>
        <w:t xml:space="preserve"> Bespoke packages of support are put in place for pupils which consist of,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music therapy, </w:t>
      </w:r>
      <w:r w:rsidR="00A12A1C">
        <w:rPr>
          <w:lang w:val="en-US"/>
        </w:rPr>
        <w:t>named adults to talk to (including class staff and DSLs), external specialist support, (in some cases), bespoke time-tabling arrangements</w:t>
      </w:r>
    </w:p>
    <w:p w14:paraId="1B8F131A" w14:textId="77777777" w:rsidR="00A85D38" w:rsidRPr="00D8559C" w:rsidRDefault="00A85D38" w:rsidP="00D8559C">
      <w:pPr>
        <w:rPr>
          <w:lang w:val="en-US"/>
        </w:rPr>
      </w:pPr>
    </w:p>
    <w:p w14:paraId="5CAA03A3" w14:textId="1ED6D101" w:rsidR="00A85D38" w:rsidRPr="00A85D38" w:rsidRDefault="00A85D38">
      <w:pPr>
        <w:rPr>
          <w:lang w:val="en-US"/>
        </w:rPr>
      </w:pPr>
    </w:p>
    <w:sectPr w:rsidR="00A85D38" w:rsidRPr="00A85D38" w:rsidSect="00A85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76F4"/>
    <w:multiLevelType w:val="multilevel"/>
    <w:tmpl w:val="5F6A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2D6D1D"/>
    <w:multiLevelType w:val="hybridMultilevel"/>
    <w:tmpl w:val="7720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35591">
    <w:abstractNumId w:val="1"/>
  </w:num>
  <w:num w:numId="2" w16cid:durableId="16903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38"/>
    <w:rsid w:val="00080D6C"/>
    <w:rsid w:val="002761EB"/>
    <w:rsid w:val="0044014D"/>
    <w:rsid w:val="004B248A"/>
    <w:rsid w:val="006F4BC2"/>
    <w:rsid w:val="00A12A1C"/>
    <w:rsid w:val="00A85D38"/>
    <w:rsid w:val="00AE031D"/>
    <w:rsid w:val="00C40163"/>
    <w:rsid w:val="00D31B4A"/>
    <w:rsid w:val="00D8559C"/>
    <w:rsid w:val="00DF7514"/>
    <w:rsid w:val="00F04650"/>
    <w:rsid w:val="00FE3C4B"/>
    <w:rsid w:val="1196AAC7"/>
    <w:rsid w:val="33F88088"/>
    <w:rsid w:val="34A97672"/>
    <w:rsid w:val="358F2537"/>
    <w:rsid w:val="71B4A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4B29"/>
  <w15:chartTrackingRefBased/>
  <w15:docId w15:val="{0BB2BBF2-6E62-4211-BBDF-A49846A2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38"/>
    <w:pPr>
      <w:ind w:left="720"/>
      <w:contextualSpacing/>
    </w:pPr>
  </w:style>
  <w:style w:type="paragraph" w:customStyle="1" w:styleId="paragraph">
    <w:name w:val="paragraph"/>
    <w:basedOn w:val="Normal"/>
    <w:rsid w:val="00A8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A85D38"/>
  </w:style>
  <w:style w:type="character" w:customStyle="1" w:styleId="eop">
    <w:name w:val="eop"/>
    <w:basedOn w:val="DefaultParagraphFont"/>
    <w:rsid w:val="00A8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What's Working Well?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4CE-4856-AE05-C8FE725490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CE-4856-AE05-C8FE725490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4CE-4856-AE05-C8FE725490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4CE-4856-AE05-C8FE725490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4CE-4856-AE05-C8FE7254901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4CE-4856-AE05-C8FE7254901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4CE-4856-AE05-C8FE7254901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4CE-4856-AE05-C8FE7254901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4CE-4856-AE05-C8FE7254901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14CE-4856-AE05-C8FE7254901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14CE-4856-AE05-C8FE7254901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14CE-4856-AE05-C8FE7254901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14CE-4856-AE05-C8FE7254901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14CE-4856-AE05-C8FE72549014}"/>
              </c:ext>
            </c:extLst>
          </c:dPt>
          <c:cat>
            <c:strRef>
              <c:f>Sheet1!$A$18:$A$31</c:f>
              <c:strCache>
                <c:ptCount val="14"/>
                <c:pt idx="0">
                  <c:v>Mental well-being (happy at school, friendships) </c:v>
                </c:pt>
                <c:pt idx="1">
                  <c:v>Physical well-being (routines, sleep, postural management programme) </c:v>
                </c:pt>
                <c:pt idx="2">
                  <c:v>General learning (progress &amp; challenge, opportunities, communication) </c:v>
                </c:pt>
                <c:pt idx="3">
                  <c:v>Music therapy </c:v>
                </c:pt>
                <c:pt idx="4">
                  <c:v>Growing confidence and/or maturity </c:v>
                </c:pt>
                <c:pt idx="5">
                  <c:v>Independence and life skills </c:v>
                </c:pt>
                <c:pt idx="6">
                  <c:v>Behaviour (rewards system) </c:v>
                </c:pt>
                <c:pt idx="7">
                  <c:v>Home-school communication </c:v>
                </c:pt>
                <c:pt idx="8">
                  <c:v>Transport </c:v>
                </c:pt>
                <c:pt idx="9">
                  <c:v>Input from social services </c:v>
                </c:pt>
                <c:pt idx="10">
                  <c:v>Medical </c:v>
                </c:pt>
                <c:pt idx="11">
                  <c:v>School environment (mainly or wholly pupil responses) (sensory, outdoors, clubs &amp; activities) </c:v>
                </c:pt>
                <c:pt idx="12">
                  <c:v>Opportunities at school (mainly or wholly pupil responses) (clubs &amp; activities, curriculum, preps for adulthood)  </c:v>
                </c:pt>
                <c:pt idx="13">
                  <c:v>Male teacher (mainly or wholly pupil responses) </c:v>
                </c:pt>
              </c:strCache>
            </c:strRef>
          </c:cat>
          <c:val>
            <c:numRef>
              <c:f>Sheet1!$B$18:$B$31</c:f>
              <c:numCache>
                <c:formatCode>General</c:formatCode>
                <c:ptCount val="14"/>
                <c:pt idx="0">
                  <c:v>72</c:v>
                </c:pt>
                <c:pt idx="1">
                  <c:v>24</c:v>
                </c:pt>
                <c:pt idx="2">
                  <c:v>37</c:v>
                </c:pt>
                <c:pt idx="3">
                  <c:v>10</c:v>
                </c:pt>
                <c:pt idx="4">
                  <c:v>17</c:v>
                </c:pt>
                <c:pt idx="5">
                  <c:v>16</c:v>
                </c:pt>
                <c:pt idx="6">
                  <c:v>3</c:v>
                </c:pt>
                <c:pt idx="7">
                  <c:v>5</c:v>
                </c:pt>
                <c:pt idx="8">
                  <c:v>10</c:v>
                </c:pt>
                <c:pt idx="9">
                  <c:v>6</c:v>
                </c:pt>
                <c:pt idx="10">
                  <c:v>5</c:v>
                </c:pt>
                <c:pt idx="11">
                  <c:v>9</c:v>
                </c:pt>
                <c:pt idx="12">
                  <c:v>22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4CE-4856-AE05-C8FE72549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What could be better?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089-4694-92A2-74B7944FB9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089-4694-92A2-74B7944FB9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89-4694-92A2-74B7944FB9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089-4694-92A2-74B7944FB9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089-4694-92A2-74B7944FB9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089-4694-92A2-74B7944FB95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089-4694-92A2-74B7944FB95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089-4694-92A2-74B7944FB95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089-4694-92A2-74B7944FB95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0089-4694-92A2-74B7944FB95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0089-4694-92A2-74B7944FB95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0089-4694-92A2-74B7944FB95D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0089-4694-92A2-74B7944FB95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0089-4694-92A2-74B7944FB95D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0089-4694-92A2-74B7944FB95D}"/>
              </c:ext>
            </c:extLst>
          </c:dPt>
          <c:cat>
            <c:strRef>
              <c:f>Sheet1!$A$36:$A$50</c:f>
              <c:strCache>
                <c:ptCount val="15"/>
                <c:pt idx="0">
                  <c:v>Mental well-being </c:v>
                </c:pt>
                <c:pt idx="1">
                  <c:v>Physical accidents at school </c:v>
                </c:pt>
                <c:pt idx="2">
                  <c:v>Physical well-being (opportunities to develop at school) </c:v>
                </c:pt>
                <c:pt idx="3">
                  <c:v>School environment (sensory) </c:v>
                </c:pt>
                <c:pt idx="4">
                  <c:v>General learning (progress &amp; challenge or too challenging, appropriate equipment/resources – e.g. ICT) </c:v>
                </c:pt>
                <c:pt idx="5">
                  <c:v>Behaviour (generally at home) (generally condition-related) </c:v>
                </c:pt>
                <c:pt idx="6">
                  <c:v>Independence skills (at home or at school, some just to develop these) </c:v>
                </c:pt>
                <c:pt idx="7">
                  <c:v>Access to extra-curricular activities (clubs and trips) </c:v>
                </c:pt>
                <c:pt idx="8">
                  <c:v>Home-school communication (access to Earwig, information on them, older pupils rights) </c:v>
                </c:pt>
                <c:pt idx="9">
                  <c:v>Communication with therapists </c:v>
                </c:pt>
                <c:pt idx="10">
                  <c:v>Medical (generally condition-related) </c:v>
                </c:pt>
                <c:pt idx="11">
                  <c:v>Physiotherapy or OT equipment (sourced from NHS) </c:v>
                </c:pt>
                <c:pt idx="12">
                  <c:v>MSI or communication equipment </c:v>
                </c:pt>
                <c:pt idx="13">
                  <c:v>Input from social services (respite, alterations to housing) </c:v>
                </c:pt>
                <c:pt idx="14">
                  <c:v>Transport</c:v>
                </c:pt>
              </c:strCache>
            </c:strRef>
          </c:cat>
          <c:val>
            <c:numRef>
              <c:f>Sheet1!$B$36:$B$50</c:f>
              <c:numCache>
                <c:formatCode>General</c:formatCode>
                <c:ptCount val="15"/>
                <c:pt idx="0">
                  <c:v>8</c:v>
                </c:pt>
                <c:pt idx="1">
                  <c:v>2</c:v>
                </c:pt>
                <c:pt idx="2">
                  <c:v>9</c:v>
                </c:pt>
                <c:pt idx="3">
                  <c:v>5</c:v>
                </c:pt>
                <c:pt idx="4">
                  <c:v>8</c:v>
                </c:pt>
                <c:pt idx="5">
                  <c:v>12</c:v>
                </c:pt>
                <c:pt idx="6">
                  <c:v>8</c:v>
                </c:pt>
                <c:pt idx="7">
                  <c:v>8</c:v>
                </c:pt>
                <c:pt idx="9">
                  <c:v>9</c:v>
                </c:pt>
                <c:pt idx="10">
                  <c:v>12</c:v>
                </c:pt>
                <c:pt idx="11">
                  <c:v>3</c:v>
                </c:pt>
                <c:pt idx="12">
                  <c:v>7</c:v>
                </c:pt>
                <c:pt idx="13">
                  <c:v>4</c:v>
                </c:pt>
                <c:pt idx="1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0089-4694-92A2-74B7944FB9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Webster</dc:creator>
  <cp:keywords/>
  <dc:description/>
  <cp:lastModifiedBy>Emily Webster</cp:lastModifiedBy>
  <cp:revision>4</cp:revision>
  <dcterms:created xsi:type="dcterms:W3CDTF">2023-08-25T14:34:00Z</dcterms:created>
  <dcterms:modified xsi:type="dcterms:W3CDTF">2023-08-25T14:39:00Z</dcterms:modified>
</cp:coreProperties>
</file>